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3" w:rsidRPr="00CC4B47" w:rsidRDefault="003704B3" w:rsidP="003704B3">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3704B3" w:rsidRDefault="003704B3" w:rsidP="003704B3">
      <w:pPr>
        <w:spacing w:line="360" w:lineRule="auto"/>
        <w:ind w:firstLine="709"/>
        <w:jc w:val="both"/>
        <w:rPr>
          <w:snapToGrid w:val="0"/>
          <w:sz w:val="24"/>
          <w:szCs w:val="24"/>
        </w:rPr>
      </w:pPr>
    </w:p>
    <w:p w:rsidR="003704B3" w:rsidRDefault="003704B3" w:rsidP="003704B3">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704B3" w:rsidRDefault="003704B3" w:rsidP="003704B3">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3704B3" w:rsidRDefault="003704B3" w:rsidP="003704B3">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3704B3" w:rsidRDefault="003704B3" w:rsidP="003704B3">
      <w:pPr>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w:t>
      </w:r>
      <w:bookmarkStart w:id="0" w:name="_GoBack"/>
      <w:bookmarkEnd w:id="0"/>
      <w:r w:rsidRPr="00CC4B47">
        <w:rPr>
          <w:snapToGrid w:val="0"/>
          <w:sz w:val="28"/>
          <w:szCs w:val="28"/>
        </w:rPr>
        <w:t>инвестиционный пай, следует внимательно ознакомиться с правилами доверительного управления паевым инвестиционным фондом.</w:t>
      </w:r>
    </w:p>
    <w:p w:rsidR="003704B3" w:rsidRDefault="003704B3">
      <w:pPr>
        <w:suppressAutoHyphens w:val="0"/>
        <w:autoSpaceDE/>
        <w:spacing w:after="160" w:line="259" w:lineRule="auto"/>
        <w:rPr>
          <w:snapToGrid w:val="0"/>
          <w:sz w:val="28"/>
          <w:szCs w:val="28"/>
        </w:rPr>
      </w:pPr>
      <w:r>
        <w:rPr>
          <w:snapToGrid w:val="0"/>
          <w:sz w:val="28"/>
          <w:szCs w:val="28"/>
        </w:rPr>
        <w:br w:type="page"/>
      </w:r>
    </w:p>
    <w:p w:rsidR="003704B3" w:rsidRDefault="003704B3" w:rsidP="003704B3"/>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FF700B">
              <w:t>27</w:t>
            </w:r>
            <w:r w:rsidR="009E578F" w:rsidRPr="00591BAB">
              <w:t xml:space="preserve"> </w:t>
            </w:r>
            <w:r w:rsidRPr="00591BAB">
              <w:t xml:space="preserve">» </w:t>
            </w:r>
            <w:r w:rsidR="009E578F" w:rsidRPr="00591BAB">
              <w:t xml:space="preserve">      </w:t>
            </w:r>
            <w:r w:rsidR="00FF700B">
              <w:t>июля</w:t>
            </w:r>
            <w:r w:rsidR="009E578F" w:rsidRPr="00591BAB">
              <w:t xml:space="preserve">           </w:t>
            </w:r>
            <w:r w:rsidRPr="00591BAB">
              <w:t>20</w:t>
            </w:r>
            <w:r w:rsidR="0098680B" w:rsidRPr="00591BAB">
              <w:t>2</w:t>
            </w:r>
            <w:r w:rsidR="003E51D0" w:rsidRPr="004C1F5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47B82">
              <w:t xml:space="preserve"> </w:t>
            </w:r>
            <w:r w:rsidR="00FF700B">
              <w:t>27</w:t>
            </w:r>
            <w:r w:rsidR="009E578F" w:rsidRPr="00591BAB">
              <w:t xml:space="preserve"> »      </w:t>
            </w:r>
            <w:r w:rsidR="00FF700B">
              <w:t>июля</w:t>
            </w:r>
            <w:r w:rsidR="009E578F" w:rsidRPr="00591BAB">
              <w:t xml:space="preserve">     </w:t>
            </w:r>
            <w:r w:rsidRPr="00591BAB">
              <w:t xml:space="preserve"> 20</w:t>
            </w:r>
            <w:r w:rsidR="003E51D0">
              <w:t>2</w:t>
            </w:r>
            <w:r w:rsidR="003E51D0" w:rsidRPr="004C1F5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8B4755"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 xml:space="preserve">ФОНД </w:t>
      </w:r>
      <w:r w:rsidR="003414F3">
        <w:rPr>
          <w:snapToGrid w:val="0"/>
          <w:sz w:val="26"/>
          <w:szCs w:val="26"/>
          <w:u w:val="single"/>
        </w:rPr>
        <w:t>СБАЛАНСИРОВАННЫЙ ГЛОБАЛЬНЫЙ</w:t>
      </w:r>
      <w:r w:rsidRPr="00591BAB">
        <w:rPr>
          <w:snapToGrid w:val="0"/>
          <w:sz w:val="26"/>
          <w:szCs w:val="26"/>
          <w:u w:val="single"/>
        </w:rPr>
        <w:t>»</w:t>
      </w:r>
    </w:p>
    <w:p w:rsidR="004035B8" w:rsidRDefault="004035B8" w:rsidP="004035B8">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B4755">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3414F3" w:rsidRPr="003414F3">
        <w:rPr>
          <w:sz w:val="24"/>
          <w:szCs w:val="24"/>
          <w:lang w:eastAsia="ru-RU"/>
        </w:rPr>
        <w:t>Фонд сбалансированный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8B4755">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FF700B">
        <w:rPr>
          <w:sz w:val="24"/>
          <w:szCs w:val="24"/>
          <w:lang w:eastAsia="ru-RU"/>
        </w:rPr>
        <w:t>05</w:t>
      </w:r>
      <w:r w:rsidR="005C7817" w:rsidRPr="00591BAB">
        <w:rPr>
          <w:sz w:val="24"/>
          <w:szCs w:val="24"/>
          <w:lang w:eastAsia="ru-RU"/>
        </w:rPr>
        <w:t xml:space="preserve"> </w:t>
      </w:r>
      <w:r w:rsidR="00FF700B">
        <w:rPr>
          <w:sz w:val="24"/>
          <w:szCs w:val="24"/>
          <w:lang w:eastAsia="ru-RU"/>
        </w:rPr>
        <w:t>июля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5388"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7865389"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7865390"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7865391"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7865392"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7865393"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7865394"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7865395"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7865396"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7865397"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7865398"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7865399"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7865400"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7865401"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7865402"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7865403"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7865404"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7865405"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7865406"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7865407"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7865408"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7865409"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7865410"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7865411"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7865412"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7865413"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17865414"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7865415"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7865416"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7865417"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7865418"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7865419"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7865420"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7865421"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7865422"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7865423"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7865424"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7865425"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7865426"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7865427"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7865428"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7865429"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7865430"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3704B3"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3704B3"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3704B3"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3704B3"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3704B3"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3704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3E51D0"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w:t>
            </w:r>
            <w:r w:rsidR="00CD001F" w:rsidRPr="00CD001F">
              <w:rPr>
                <w:sz w:val="24"/>
                <w:szCs w:val="24"/>
              </w:rPr>
              <w:t xml:space="preserve"> </w:t>
            </w:r>
            <w:r w:rsidR="00CD001F">
              <w:rPr>
                <w:sz w:val="24"/>
                <w:szCs w:val="24"/>
              </w:rPr>
              <w:t>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FF700B" w:rsidRDefault="00FF700B"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3704B3"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3704B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3704B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3704B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9055D8" w:rsidRPr="00591BAB" w:rsidRDefault="009055D8" w:rsidP="009055D8">
            <w:pPr>
              <w:pStyle w:val="a8"/>
              <w:autoSpaceDN w:val="0"/>
              <w:adjustRightInd w:val="0"/>
              <w:spacing w:line="360" w:lineRule="auto"/>
              <w:ind w:left="0"/>
              <w:jc w:val="both"/>
              <w:rPr>
                <w:sz w:val="24"/>
                <w:szCs w:val="24"/>
              </w:rPr>
            </w:pP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9055D8" w:rsidRPr="00591BAB" w:rsidRDefault="009055D8" w:rsidP="009055D8">
            <w:pPr>
              <w:pStyle w:val="a8"/>
              <w:autoSpaceDN w:val="0"/>
              <w:adjustRightInd w:val="0"/>
              <w:spacing w:line="360" w:lineRule="auto"/>
              <w:ind w:left="0"/>
              <w:jc w:val="both"/>
              <w:rPr>
                <w:sz w:val="24"/>
                <w:szCs w:val="24"/>
              </w:rPr>
            </w:pPr>
          </w:p>
        </w:tc>
      </w:tr>
      <w:tr w:rsidR="009055D8" w:rsidRPr="00591BAB" w:rsidTr="009D6B08">
        <w:tc>
          <w:tcPr>
            <w:tcW w:w="5891" w:type="dxa"/>
          </w:tcPr>
          <w:p w:rsidR="009055D8" w:rsidRPr="00591BAB" w:rsidRDefault="009055D8" w:rsidP="009055D8">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055D8" w:rsidRPr="00591BAB" w:rsidRDefault="009055D8" w:rsidP="009055D8">
            <w:pPr>
              <w:pStyle w:val="a8"/>
              <w:autoSpaceDN w:val="0"/>
              <w:adjustRightInd w:val="0"/>
              <w:spacing w:line="360" w:lineRule="auto"/>
              <w:ind w:left="0"/>
              <w:jc w:val="both"/>
              <w:rPr>
                <w:sz w:val="24"/>
                <w:szCs w:val="24"/>
              </w:rPr>
            </w:pPr>
            <w:r w:rsidRPr="00591BAB">
              <w:rPr>
                <w:sz w:val="24"/>
                <w:szCs w:val="24"/>
              </w:rPr>
              <w:t>Vienna Stock Exchange</w:t>
            </w:r>
          </w:p>
        </w:tc>
      </w:tr>
      <w:tr w:rsidR="009055D8" w:rsidRPr="003704B3"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055D8" w:rsidRPr="00591BAB" w:rsidRDefault="009055D8" w:rsidP="009055D8">
            <w:pPr>
              <w:pStyle w:val="a8"/>
              <w:autoSpaceDN w:val="0"/>
              <w:adjustRightInd w:val="0"/>
              <w:ind w:left="0"/>
              <w:jc w:val="both"/>
              <w:rPr>
                <w:sz w:val="24"/>
                <w:szCs w:val="24"/>
                <w:lang w:val="en-US"/>
              </w:rPr>
            </w:pPr>
            <w:r w:rsidRPr="00591BAB">
              <w:rPr>
                <w:sz w:val="24"/>
                <w:szCs w:val="24"/>
                <w:lang w:val="en-US"/>
              </w:rPr>
              <w:t>The Stock Exchange of Hong Kong</w:t>
            </w:r>
          </w:p>
        </w:tc>
      </w:tr>
      <w:tr w:rsidR="009055D8" w:rsidRPr="00591BAB" w:rsidTr="00907EF4">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Berlin SE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Stuttgart SE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Munich SE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Dusseldorf SE</w:t>
            </w:r>
          </w:p>
        </w:tc>
      </w:tr>
      <w:tr w:rsidR="009055D8" w:rsidRPr="009055D8"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9055D8" w:rsidRPr="00294665" w:rsidRDefault="009055D8" w:rsidP="009055D8">
            <w:pPr>
              <w:pStyle w:val="a8"/>
              <w:autoSpaceDN w:val="0"/>
              <w:adjustRightInd w:val="0"/>
              <w:ind w:left="0"/>
              <w:jc w:val="both"/>
              <w:rPr>
                <w:sz w:val="24"/>
                <w:szCs w:val="24"/>
              </w:rPr>
            </w:pPr>
            <w:r w:rsidRPr="00294665">
              <w:rPr>
                <w:sz w:val="24"/>
                <w:szCs w:val="24"/>
              </w:rPr>
              <w:t>DB Hamburg SE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London Stock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Shenzhen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New York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NYSE Arсa</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Singapore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Tokyo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The NASDAQ Stock Market</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Toronto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Frankfurt Stock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Shanghai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SIX Swiss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Luxembourg Stock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Johannesburg Stock Exchange</w:t>
            </w:r>
          </w:p>
        </w:tc>
      </w:tr>
      <w:tr w:rsidR="009055D8" w:rsidRPr="00591BAB" w:rsidTr="00907EF4">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9055D8" w:rsidRPr="00294665" w:rsidRDefault="009055D8" w:rsidP="009055D8">
            <w:pPr>
              <w:pStyle w:val="a8"/>
              <w:autoSpaceDN w:val="0"/>
              <w:adjustRightInd w:val="0"/>
              <w:ind w:left="0"/>
              <w:jc w:val="both"/>
              <w:rPr>
                <w:sz w:val="24"/>
                <w:szCs w:val="24"/>
              </w:rPr>
            </w:pPr>
            <w:r w:rsidRPr="00294665">
              <w:rPr>
                <w:sz w:val="24"/>
                <w:szCs w:val="24"/>
              </w:rPr>
              <w:t>Irish Stock Exchange</w:t>
            </w:r>
          </w:p>
        </w:tc>
      </w:tr>
      <w:tr w:rsidR="009055D8" w:rsidRPr="00591BAB" w:rsidTr="00907EF4">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7865431"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7865432"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7865433"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3704B3"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3704B3"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3704B3"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3704B3"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3704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3704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3704B3"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3704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3704B3"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3704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3704B3"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3704B3"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3704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3704B3"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3704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3704B3"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3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3704B3"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3704B3"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147B82" w:rsidRPr="00346FD7"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147B82"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3704B3"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31AC2">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E70095">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E70095">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CD001F">
        <w:trPr>
          <w:trHeight w:val="558"/>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7865434"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3704B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3704B3"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3704B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3704B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3704B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3704B3"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3704B3"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9055D8">
      <w:pPr>
        <w:spacing w:line="360" w:lineRule="auto"/>
        <w:ind w:firstLine="709"/>
        <w:jc w:val="both"/>
        <w:rPr>
          <w:sz w:val="24"/>
          <w:szCs w:val="24"/>
        </w:rPr>
      </w:pPr>
      <w:r w:rsidRPr="00591BAB">
        <w:rPr>
          <w:sz w:val="24"/>
          <w:szCs w:val="24"/>
        </w:rPr>
        <w:t xml:space="preserve">CUR/USD – </w:t>
      </w:r>
      <w:r w:rsidR="009055D8" w:rsidRPr="00AD2F2B">
        <w:rPr>
          <w:sz w:val="24"/>
          <w:szCs w:val="24"/>
        </w:rPr>
        <w:t xml:space="preserve">цена </w:t>
      </w:r>
      <w:r w:rsidR="009055D8">
        <w:rPr>
          <w:sz w:val="24"/>
          <w:szCs w:val="24"/>
        </w:rPr>
        <w:t xml:space="preserve">по сделкам </w:t>
      </w:r>
      <w:r w:rsidR="009055D8" w:rsidRPr="00466985">
        <w:rPr>
          <w:sz w:val="24"/>
          <w:szCs w:val="24"/>
        </w:rPr>
        <w:t>spot</w:t>
      </w:r>
      <w:r w:rsidR="009055D8">
        <w:rPr>
          <w:sz w:val="24"/>
          <w:szCs w:val="24"/>
        </w:rPr>
        <w:t xml:space="preserve"> </w:t>
      </w:r>
      <w:r w:rsidR="009055D8" w:rsidRPr="00AD2F2B">
        <w:rPr>
          <w:sz w:val="24"/>
          <w:szCs w:val="24"/>
        </w:rPr>
        <w:t>валюты, в которой выражена стоимость активов (обязательств), к Доллару США, раскрываемая информационной системой "</w:t>
      </w:r>
      <w:r w:rsidR="009055D8">
        <w:rPr>
          <w:sz w:val="24"/>
          <w:szCs w:val="24"/>
        </w:rPr>
        <w:t>Интерфакс</w:t>
      </w:r>
      <w:r w:rsidR="009055D8"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591B5B">
      <w:pPr>
        <w:spacing w:line="360" w:lineRule="auto"/>
        <w:jc w:val="right"/>
        <w:rPr>
          <w:b/>
          <w:sz w:val="24"/>
          <w:szCs w:val="24"/>
        </w:rPr>
      </w:pPr>
      <w:r>
        <w:rPr>
          <w:b/>
          <w:sz w:val="24"/>
          <w:szCs w:val="24"/>
        </w:rPr>
        <w:t>Приложение 20</w:t>
      </w:r>
    </w:p>
    <w:p w:rsidR="00591B5B" w:rsidRDefault="00591B5B" w:rsidP="00591B5B">
      <w:pPr>
        <w:spacing w:line="360" w:lineRule="auto"/>
        <w:jc w:val="both"/>
        <w:rPr>
          <w:sz w:val="24"/>
          <w:szCs w:val="24"/>
        </w:rPr>
      </w:pPr>
    </w:p>
    <w:p w:rsidR="00591B5B" w:rsidRDefault="00591B5B" w:rsidP="00591B5B">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591B5B" w:rsidRDefault="00591B5B" w:rsidP="00591B5B">
      <w:pPr>
        <w:spacing w:line="360" w:lineRule="auto"/>
        <w:ind w:firstLine="708"/>
        <w:jc w:val="both"/>
        <w:rPr>
          <w:sz w:val="24"/>
          <w:szCs w:val="24"/>
        </w:rPr>
      </w:pPr>
    </w:p>
    <w:p w:rsidR="00591B5B" w:rsidRPr="0040532A" w:rsidRDefault="00591B5B" w:rsidP="00591B5B">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591B5B" w:rsidRDefault="00591B5B" w:rsidP="00591B5B">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591B5B" w:rsidRDefault="00591B5B" w:rsidP="00591B5B">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591B5B" w:rsidRDefault="00591B5B" w:rsidP="00591B5B">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591B5B" w:rsidRPr="00F257D9" w:rsidRDefault="00591B5B" w:rsidP="00591B5B">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591B5B" w:rsidRPr="00A55F6A" w:rsidRDefault="00591B5B" w:rsidP="00591B5B">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591B5B" w:rsidRPr="0016477D" w:rsidRDefault="00591B5B" w:rsidP="00591B5B">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591B5B" w:rsidRDefault="00591B5B" w:rsidP="00591B5B">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591B5B" w:rsidRPr="006C5A7D"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591B5B" w:rsidRPr="00405FCA" w:rsidRDefault="00591B5B" w:rsidP="00591B5B">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591B5B" w:rsidRDefault="00591B5B" w:rsidP="00591B5B">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591B5B"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591B5B" w:rsidRDefault="00591B5B" w:rsidP="00591B5B">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591B5B" w:rsidRPr="003360DE" w:rsidRDefault="00591B5B" w:rsidP="00591B5B">
      <w:pPr>
        <w:spacing w:line="360" w:lineRule="auto"/>
        <w:ind w:firstLine="708"/>
        <w:jc w:val="both"/>
        <w:rPr>
          <w:sz w:val="24"/>
          <w:szCs w:val="24"/>
        </w:rPr>
      </w:pPr>
    </w:p>
    <w:p w:rsidR="00591B5B" w:rsidRPr="0040532A" w:rsidRDefault="00591B5B" w:rsidP="00591B5B">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591B5B" w:rsidRDefault="00591B5B" w:rsidP="00591B5B">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591B5B" w:rsidRDefault="00591B5B" w:rsidP="00591B5B">
      <w:pPr>
        <w:spacing w:line="360" w:lineRule="auto"/>
        <w:ind w:firstLine="708"/>
        <w:jc w:val="both"/>
        <w:rPr>
          <w:sz w:val="24"/>
          <w:szCs w:val="24"/>
        </w:rPr>
      </w:pPr>
      <w:r>
        <w:rPr>
          <w:sz w:val="24"/>
          <w:szCs w:val="24"/>
        </w:rPr>
        <w:t xml:space="preserve">2.2. </w:t>
      </w:r>
      <w:r w:rsidR="009055D8"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9055D8">
        <w:rPr>
          <w:sz w:val="24"/>
          <w:szCs w:val="24"/>
        </w:rPr>
        <w:t>31</w:t>
      </w:r>
      <w:r w:rsidR="009055D8" w:rsidRPr="00466985">
        <w:rPr>
          <w:sz w:val="24"/>
          <w:szCs w:val="24"/>
        </w:rPr>
        <w:t xml:space="preserve"> </w:t>
      </w:r>
      <w:r w:rsidR="009055D8">
        <w:rPr>
          <w:sz w:val="24"/>
          <w:szCs w:val="24"/>
        </w:rPr>
        <w:t>мая</w:t>
      </w:r>
      <w:r w:rsidR="009055D8"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p>
    <w:p w:rsidR="00591B5B" w:rsidRDefault="00591B5B" w:rsidP="00591B5B">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591B5B" w:rsidRPr="008D4D23" w:rsidRDefault="00591B5B" w:rsidP="00591B5B">
      <w:pPr>
        <w:spacing w:line="360" w:lineRule="auto"/>
        <w:ind w:firstLine="708"/>
        <w:jc w:val="both"/>
        <w:rPr>
          <w:sz w:val="24"/>
          <w:szCs w:val="24"/>
        </w:rPr>
      </w:pPr>
    </w:p>
    <w:p w:rsidR="00591B5B" w:rsidRPr="009E11C8" w:rsidRDefault="00591B5B" w:rsidP="00591B5B">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591B5B" w:rsidRDefault="00591B5B" w:rsidP="00591B5B">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591B5B" w:rsidRDefault="00591B5B" w:rsidP="00591B5B">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591B5B" w:rsidRPr="00C05EFD" w:rsidRDefault="00591B5B" w:rsidP="00591B5B">
      <w:pPr>
        <w:spacing w:line="360" w:lineRule="auto"/>
        <w:ind w:firstLine="708"/>
        <w:jc w:val="both"/>
        <w:rPr>
          <w:sz w:val="24"/>
          <w:szCs w:val="24"/>
        </w:rPr>
      </w:pPr>
    </w:p>
    <w:p w:rsidR="00591B5B" w:rsidRPr="00245F3C" w:rsidRDefault="00591B5B" w:rsidP="00591B5B">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591B5B" w:rsidRPr="00DA2914" w:rsidRDefault="00591B5B" w:rsidP="00591B5B">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591B5B" w:rsidRDefault="00591B5B" w:rsidP="00591B5B">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591B5B" w:rsidRDefault="00591B5B" w:rsidP="00591B5B">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591B5B" w:rsidRDefault="00591B5B" w:rsidP="00591B5B">
      <w:pPr>
        <w:spacing w:line="360" w:lineRule="auto"/>
        <w:ind w:firstLine="708"/>
        <w:jc w:val="both"/>
        <w:rPr>
          <w:sz w:val="24"/>
          <w:szCs w:val="24"/>
        </w:rPr>
      </w:pPr>
    </w:p>
    <w:p w:rsidR="00591B5B" w:rsidRPr="00591BAB" w:rsidRDefault="00591B5B" w:rsidP="00E845C5">
      <w:pPr>
        <w:autoSpaceDN w:val="0"/>
        <w:adjustRightInd w:val="0"/>
        <w:spacing w:line="360" w:lineRule="auto"/>
        <w:rPr>
          <w:sz w:val="24"/>
          <w:szCs w:val="24"/>
          <w:lang w:eastAsia="ru-RU"/>
        </w:rPr>
      </w:pPr>
    </w:p>
    <w:sectPr w:rsidR="00591B5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55" w:rsidRDefault="008B4755" w:rsidP="002C56E6">
      <w:r>
        <w:separator/>
      </w:r>
    </w:p>
  </w:endnote>
  <w:endnote w:type="continuationSeparator" w:id="0">
    <w:p w:rsidR="008B4755" w:rsidRDefault="008B475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3704B3">
          <w:rPr>
            <w:noProof/>
          </w:rPr>
          <w:t>2</w:t>
        </w:r>
        <w:r>
          <w:rPr>
            <w:noProof/>
          </w:rPr>
          <w:fldChar w:fldCharType="end"/>
        </w:r>
      </w:p>
    </w:sdtContent>
  </w:sdt>
  <w:p w:rsidR="008B4755" w:rsidRDefault="008B47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FF700B">
          <w:rPr>
            <w:noProof/>
          </w:rPr>
          <w:t>80</w:t>
        </w:r>
        <w:r>
          <w:rPr>
            <w:noProof/>
          </w:rPr>
          <w:fldChar w:fldCharType="end"/>
        </w:r>
      </w:p>
    </w:sdtContent>
  </w:sdt>
  <w:p w:rsidR="008B4755" w:rsidRDefault="008B475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FF700B">
          <w:rPr>
            <w:noProof/>
          </w:rPr>
          <w:t>118</w:t>
        </w:r>
        <w:r>
          <w:rPr>
            <w:noProof/>
          </w:rPr>
          <w:fldChar w:fldCharType="end"/>
        </w:r>
      </w:p>
    </w:sdtContent>
  </w:sdt>
  <w:p w:rsidR="008B4755" w:rsidRDefault="008B47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55" w:rsidRDefault="008B4755" w:rsidP="002C56E6">
      <w:r>
        <w:separator/>
      </w:r>
    </w:p>
  </w:footnote>
  <w:footnote w:type="continuationSeparator" w:id="0">
    <w:p w:rsidR="008B4755" w:rsidRDefault="008B4755" w:rsidP="002C56E6">
      <w:r>
        <w:continuationSeparator/>
      </w:r>
    </w:p>
  </w:footnote>
  <w:footnote w:id="1">
    <w:p w:rsidR="008B4755" w:rsidRPr="00E845C5" w:rsidRDefault="008B475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B4755" w:rsidRPr="00E845C5" w:rsidRDefault="008B475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B4755" w:rsidRPr="00E845C5" w:rsidRDefault="008B4755" w:rsidP="00E845C5">
      <w:pPr>
        <w:pStyle w:val="aff4"/>
      </w:pPr>
      <w:r w:rsidRPr="00E845C5">
        <w:t>В случае возникновения следующих событий:</w:t>
      </w:r>
    </w:p>
    <w:p w:rsidR="008B4755" w:rsidRPr="00E845C5" w:rsidRDefault="008B4755" w:rsidP="00E460D2">
      <w:pPr>
        <w:pStyle w:val="aff4"/>
        <w:numPr>
          <w:ilvl w:val="0"/>
          <w:numId w:val="49"/>
        </w:numPr>
      </w:pPr>
      <w:r w:rsidRPr="00E845C5">
        <w:t>Возникновение признаков обесценения, изложенных в приложении 4.</w:t>
      </w:r>
    </w:p>
    <w:p w:rsidR="008B4755" w:rsidRPr="00E845C5" w:rsidRDefault="008B475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B4755" w:rsidRPr="00E845C5" w:rsidRDefault="008B475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B4755" w:rsidRPr="00E845C5" w:rsidRDefault="008B475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B4755" w:rsidRPr="00E845C5" w:rsidRDefault="008B4755" w:rsidP="00E845C5">
      <w:pPr>
        <w:pStyle w:val="aff4"/>
      </w:pPr>
      <w:r w:rsidRPr="00E845C5">
        <w:t>стоимость определяется в соответствии с порядком корректировки, предусмотренным Приложением 4.</w:t>
      </w:r>
    </w:p>
    <w:p w:rsidR="008B4755" w:rsidRPr="00CE2725" w:rsidRDefault="008B4755">
      <w:pPr>
        <w:pStyle w:val="aff4"/>
      </w:pPr>
    </w:p>
  </w:footnote>
  <w:footnote w:id="3">
    <w:p w:rsidR="008B4755" w:rsidRDefault="008B475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B4755" w:rsidRDefault="008B475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B4755" w:rsidRDefault="008B475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B4755" w:rsidRDefault="008B4755"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B4755" w:rsidRDefault="008B475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B4755" w:rsidRPr="00B62470" w:rsidRDefault="008B475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B4755" w:rsidRPr="00B62470" w:rsidRDefault="008B475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B4755" w:rsidRDefault="008B475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B4755" w:rsidRDefault="008B475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B4755" w:rsidRPr="00341704" w:rsidRDefault="008B475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B4755" w:rsidRPr="00341704" w:rsidRDefault="008B475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B4755" w:rsidRDefault="008B475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B4755" w:rsidRPr="004A14EE" w:rsidRDefault="008B4755" w:rsidP="000903F9">
      <w:pPr>
        <w:pStyle w:val="aff4"/>
        <w:rPr>
          <w:sz w:val="16"/>
        </w:rPr>
      </w:pPr>
      <w:r w:rsidRPr="004A14EE">
        <w:rPr>
          <w:rStyle w:val="afa"/>
          <w:sz w:val="16"/>
        </w:rPr>
        <w:footnoteRef/>
      </w:r>
      <w:r w:rsidRPr="004A14EE">
        <w:rPr>
          <w:sz w:val="16"/>
        </w:rPr>
        <w:t xml:space="preserve"> Кроме случаев </w:t>
      </w:r>
    </w:p>
    <w:p w:rsidR="008B4755" w:rsidRPr="004A14EE" w:rsidRDefault="008B475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B4755" w:rsidRPr="00E2653F" w:rsidRDefault="008B475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B4755" w:rsidRDefault="008B475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B4755" w:rsidRDefault="008B475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B4755" w:rsidRPr="00FE2BB4" w:rsidRDefault="008B475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B4755" w:rsidRDefault="008B475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B4755" w:rsidRDefault="008B475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B4755" w:rsidRDefault="008B4755" w:rsidP="000903F9">
      <w:pPr>
        <w:pStyle w:val="aff4"/>
      </w:pPr>
      <w:r>
        <w:rPr>
          <w:rStyle w:val="afa"/>
        </w:rPr>
        <w:footnoteRef/>
      </w:r>
      <w:r>
        <w:t xml:space="preserve"> </w:t>
      </w:r>
      <w:r w:rsidRPr="006E7138">
        <w:t>https://ofd.nalog.ru/</w:t>
      </w:r>
    </w:p>
  </w:footnote>
  <w:footnote w:id="22">
    <w:p w:rsidR="008B4755" w:rsidRPr="00EA2976" w:rsidRDefault="008B475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B4755" w:rsidRDefault="008B475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B4755" w:rsidRPr="00AC2C21" w:rsidRDefault="008B475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B4755" w:rsidRPr="00AC2C21" w:rsidRDefault="008B4755" w:rsidP="000903F9">
      <w:pPr>
        <w:pStyle w:val="aff4"/>
        <w:rPr>
          <w:sz w:val="16"/>
        </w:rPr>
      </w:pPr>
      <w:r w:rsidRPr="00AC2C21">
        <w:rPr>
          <w:sz w:val="16"/>
        </w:rPr>
        <w:t>LGD=1-RR,</w:t>
      </w:r>
    </w:p>
    <w:p w:rsidR="008B4755" w:rsidRPr="00AC2C21" w:rsidRDefault="008B4755" w:rsidP="000903F9">
      <w:pPr>
        <w:pStyle w:val="aff4"/>
        <w:rPr>
          <w:sz w:val="16"/>
        </w:rPr>
      </w:pPr>
      <w:r w:rsidRPr="00AC2C21">
        <w:rPr>
          <w:sz w:val="16"/>
        </w:rPr>
        <w:t>где:</w:t>
      </w:r>
    </w:p>
    <w:p w:rsidR="008B4755" w:rsidRDefault="008B475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B4755" w:rsidRDefault="008B475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B4755" w:rsidRDefault="008B4755" w:rsidP="000903F9">
      <w:pPr>
        <w:pStyle w:val="aff4"/>
      </w:pPr>
      <w:r>
        <w:rPr>
          <w:rStyle w:val="afa"/>
        </w:rPr>
        <w:footnoteRef/>
      </w:r>
      <w:r>
        <w:t xml:space="preserve"> Например, гостиницы, хостелы и т.п.</w:t>
      </w:r>
    </w:p>
  </w:footnote>
  <w:footnote w:id="27">
    <w:p w:rsidR="008B4755" w:rsidRDefault="008B4755"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B4755" w:rsidRDefault="008B4755" w:rsidP="000903F9">
      <w:pPr>
        <w:pStyle w:val="aff4"/>
        <w:rPr>
          <w:rFonts w:ascii="Verdana" w:hAnsi="Verdana"/>
        </w:rPr>
      </w:pPr>
      <w:r>
        <w:rPr>
          <w:rStyle w:val="afa"/>
        </w:rPr>
        <w:footnoteRef/>
      </w:r>
      <w:r>
        <w:t xml:space="preserve"> https://www.otpbank.ru/about/akcyy/msfo/</w:t>
      </w:r>
    </w:p>
  </w:footnote>
  <w:footnote w:id="29">
    <w:p w:rsidR="008B4755" w:rsidRDefault="008B4755"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B4755" w:rsidRDefault="008B4755"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B4755" w:rsidRDefault="008B4755" w:rsidP="000903F9">
      <w:pPr>
        <w:pStyle w:val="aff4"/>
      </w:pPr>
      <w:r>
        <w:rPr>
          <w:rStyle w:val="afa"/>
        </w:rPr>
        <w:footnoteRef/>
      </w:r>
      <w:r>
        <w:t xml:space="preserve"> https://www.crediteurope.ru/finance/audit_reports/</w:t>
      </w:r>
    </w:p>
  </w:footnote>
  <w:footnote w:id="32">
    <w:p w:rsidR="008B4755" w:rsidRPr="00654741" w:rsidRDefault="008B4755"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B4755" w:rsidRDefault="008B4755" w:rsidP="000903F9">
      <w:pPr>
        <w:pStyle w:val="aff4"/>
      </w:pPr>
    </w:p>
  </w:footnote>
  <w:footnote w:id="33">
    <w:p w:rsidR="008B4755" w:rsidRDefault="008B4755"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B4755" w:rsidRDefault="008B4755"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B4755" w:rsidRDefault="008B4755"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B4755" w:rsidRDefault="008B4755"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B4755" w:rsidRPr="00151F78" w:rsidRDefault="008B475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B4755" w:rsidRPr="00151F78" w:rsidRDefault="008B475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B4755" w:rsidRPr="00987453" w:rsidRDefault="008B475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Pr="00987453" w:rsidRDefault="008B475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B4755" w:rsidRPr="00987453" w:rsidRDefault="008B475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Default="008B475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591B5B" w:rsidRPr="00AC2C21" w:rsidRDefault="00591B5B" w:rsidP="00591B5B">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591B5B" w:rsidRPr="00AC2C21" w:rsidRDefault="00591B5B" w:rsidP="00591B5B">
      <w:pPr>
        <w:pStyle w:val="aff4"/>
        <w:rPr>
          <w:sz w:val="16"/>
        </w:rPr>
      </w:pPr>
      <w:r w:rsidRPr="00AC2C21">
        <w:rPr>
          <w:sz w:val="16"/>
        </w:rPr>
        <w:t>LGD=1-RR,</w:t>
      </w:r>
    </w:p>
    <w:p w:rsidR="00591B5B" w:rsidRPr="00AC2C21" w:rsidRDefault="00591B5B" w:rsidP="00591B5B">
      <w:pPr>
        <w:pStyle w:val="aff4"/>
        <w:rPr>
          <w:sz w:val="16"/>
        </w:rPr>
      </w:pPr>
      <w:r w:rsidRPr="00AC2C21">
        <w:rPr>
          <w:sz w:val="16"/>
        </w:rPr>
        <w:t>где:</w:t>
      </w:r>
    </w:p>
    <w:p w:rsidR="00591B5B" w:rsidRDefault="00591B5B" w:rsidP="00591B5B">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1AC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47B82"/>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04B3"/>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51D0"/>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5B8"/>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59"/>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5B"/>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FE1"/>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4755"/>
    <w:rsid w:val="008B5E2F"/>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55D8"/>
    <w:rsid w:val="009067E0"/>
    <w:rsid w:val="00913877"/>
    <w:rsid w:val="00913D52"/>
    <w:rsid w:val="00914428"/>
    <w:rsid w:val="00915432"/>
    <w:rsid w:val="00915802"/>
    <w:rsid w:val="00916515"/>
    <w:rsid w:val="009214B5"/>
    <w:rsid w:val="0092207A"/>
    <w:rsid w:val="00922FF7"/>
    <w:rsid w:val="009248DD"/>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3B85"/>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A4535"/>
    <w:rsid w:val="00BB2CCF"/>
    <w:rsid w:val="00BB344E"/>
    <w:rsid w:val="00BB3976"/>
    <w:rsid w:val="00BB4CE3"/>
    <w:rsid w:val="00BB62C5"/>
    <w:rsid w:val="00BC18D8"/>
    <w:rsid w:val="00BC2C43"/>
    <w:rsid w:val="00BD0247"/>
    <w:rsid w:val="00BD2004"/>
    <w:rsid w:val="00BD212F"/>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001F"/>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A71"/>
    <w:rsid w:val="00D77127"/>
    <w:rsid w:val="00D779E0"/>
    <w:rsid w:val="00D77BEF"/>
    <w:rsid w:val="00D77F99"/>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348F0"/>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095"/>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437"/>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5D1"/>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 w:val="00FF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033ED41"/>
  <w15:docId w15:val="{A1D9B7C9-C962-4F07-B19D-394E5F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831484871">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BB92AE5D-17E9-490C-A708-8A8C90E0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28455</Words>
  <Characters>162197</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190272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14</cp:revision>
  <cp:lastPrinted>2019-12-16T11:46:00Z</cp:lastPrinted>
  <dcterms:created xsi:type="dcterms:W3CDTF">2021-12-22T13:31:00Z</dcterms:created>
  <dcterms:modified xsi:type="dcterms:W3CDTF">2022-06-27T16:38:00Z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